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91beb8cd0325f2d40350e2e1dcc373a68789a4"/>
    <w:p>
      <w:pPr>
        <w:pStyle w:val="Heading3"/>
      </w:pPr>
      <w:r>
        <w:t xml:space="preserve">Столичный бизнес получил кредиты с гарантийной поддержкой на 40% больше, чем в предыдущем году</w:t>
      </w:r>
    </w:p>
    <w:p>
      <w:pPr>
        <w:pStyle w:val="FirstParagraph"/>
      </w:pPr>
      <w:r>
        <w:t xml:space="preserve">19.11.2021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За девять месяцев текущего года столичные предприниматели, заручившись поддержкой Фонда содействию кредитования малого бизнеса Москвы, получили кредиты на общую сумму 22,5 миллиардов рублей.</w:t>
      </w:r>
    </w:p>
    <w:p>
      <w:pPr>
        <w:pStyle w:val="BodyText"/>
      </w:pPr>
      <w:r>
        <w:t xml:space="preserve">«Это на 40% больше по объему и на 75% больше по количеству договоров, чем аналогичные показатели прошлого года, — сообщил руководитель Департамента предпринимательства и инновационного развития города Москвы Алексей Фурсин. — В рамках гарантийной поддержки бизнеса фонд обеспечивает поручительством до 70% суммы займа компаниям, у которых не хватает собственных активов для залога».</w:t>
      </w:r>
    </w:p>
    <w:p>
      <w:pPr>
        <w:pStyle w:val="BodyText"/>
      </w:pPr>
      <w:r>
        <w:t xml:space="preserve">Деятельность фонда направлена на поддержку субъектов малого и среднего предпринимательства. В 2021 году основными клиентами фонда стали торговые предприятия, их количество составило 62% от общего числа, обратившихся за помощью компаний, а доля инновационных и производственных компаний составила 17%. Реже за финансовой поддержкой обращались представители сферы услуг, строительства, транспорта и здравоохранения.</w:t>
      </w:r>
    </w:p>
    <w:p>
      <w:pPr>
        <w:pStyle w:val="BodyText"/>
      </w:pPr>
      <w:r>
        <w:t xml:space="preserve">Поручительство фонда позволяет повысить шансы получения положительного решения от банка, так как оно обеспечивает до 70% займа. Помимо этого, программа субсидий на компенсацию процентной ставки предоставляет заемщику льготную ставку, которая значительно ниже среднерыночной. В результате бизнесмены получают максимально выгодные условия.</w:t>
      </w:r>
    </w:p>
    <w:p>
      <w:pPr>
        <w:pStyle w:val="BodyText"/>
      </w:pPr>
      <w:r>
        <w:t xml:space="preserve">Максимально возможный объем поручительств — 100 млн рублей, однако средний размер поручительств, выдаваемых фондом, составляет 20 млн рублей. Большая часть из них связана с обеспечением кредитов для предпринимателей на пополнение оборотных средств. Заявку на поручительство жители столицы могут подать как в самом </w:t>
      </w:r>
      <w:hyperlink r:id="rId20">
        <w:r>
          <w:rPr>
            <w:rStyle w:val="Hyperlink"/>
          </w:rPr>
          <w:t xml:space="preserve">фонде</w:t>
        </w:r>
      </w:hyperlink>
      <w:r>
        <w:t xml:space="preserve">, так и в любом банке-партнере или центре госуслуг для бизнеса.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http://kuzminki.mos.ru/presscenter/news/detail/10407529.html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uzminki.mos.ru" TargetMode="External" /><Relationship Type="http://schemas.openxmlformats.org/officeDocument/2006/relationships/hyperlink" Id="rId21" Target="http://kuzminki.mos.ru/presscenter/news/detail/10407529.html" TargetMode="External" /><Relationship Type="http://schemas.openxmlformats.org/officeDocument/2006/relationships/hyperlink" Id="rId20" Target="https://www.mosgarantfund.ru/request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uzminki.mos.ru" TargetMode="External" /><Relationship Type="http://schemas.openxmlformats.org/officeDocument/2006/relationships/hyperlink" Id="rId21" Target="http://kuzminki.mos.ru/presscenter/news/detail/10407529.html" TargetMode="External" /><Relationship Type="http://schemas.openxmlformats.org/officeDocument/2006/relationships/hyperlink" Id="rId20" Target="https://www.mosgarantfund.ru/request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2025-07-31T07:03:00Z</dcterms:created>
  <dcterms:modified xsi:type="dcterms:W3CDTF">2025-07-31T07:03:00Z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