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63ce6ebdd6f797d41e7b46c6e1cba0e9672c3a"/>
    <w:p>
      <w:pPr>
        <w:pStyle w:val="Heading3"/>
      </w:pPr>
      <w:r>
        <w:t xml:space="preserve">Ответственные службы очистили павильон в Кузьминках от посторонних надписей</w:t>
      </w:r>
    </w:p>
    <w:p>
      <w:pPr>
        <w:pStyle w:val="FirstParagraph"/>
      </w:pPr>
      <w:r>
        <w:t xml:space="preserve">23.06.2020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Остановочный павильон «Храм» очистили от вандальных надписей коммунальные службы. Соответствующая просьба поступила на портал «Наш город» от жителя района. О выполненных работах отчитался руководитель департамента транспорта и развития дорожно-транспортной инфраструктуры города Москвы Максим Ликсутов.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«Сообщаем, что по состоянию на 20.06.2020 выявленные нарушения на остановочном пункте «Храм» устранены», – говорится в официальном ответе, опубликованном на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Сервис «Наш город» создан для эффективного взаимодействия населения и органов исполнительной власти. С 2011 года с помощью портала было решено свыше четырех миллионов проблем.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http://kuzminki.mos.ru/presscenter/news/detail/8985153.html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9851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9851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2025-04-18T17:27:49Z</dcterms:created>
  <dcterms:modified xsi:type="dcterms:W3CDTF">2025-04-18T17:27:49Z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